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6F" w:rsidRDefault="00D119BF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  <w:r w:rsidRPr="00D119BF">
        <w:rPr>
          <w:rFonts w:ascii="Times New Roman" w:hAnsi="Times New Roman"/>
          <w:b/>
          <w:sz w:val="28"/>
        </w:rPr>
        <w:object w:dxaOrig="9355" w:dyaOrig="143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7.7pt;height:716.1pt" o:ole="">
            <v:imagedata r:id="rId6" o:title=""/>
          </v:shape>
          <o:OLEObject Type="Embed" ProgID="Word.Document.12" ShapeID="_x0000_i1030" DrawAspect="Content" ObjectID="_1646672294" r:id="rId7">
            <o:FieldCodes>\s</o:FieldCodes>
          </o:OLEObject>
        </w:object>
      </w:r>
      <w:bookmarkStart w:id="0" w:name="_GoBack"/>
      <w:bookmarkEnd w:id="0"/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P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1A45B2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rPr>
          <w:b w:val="0"/>
        </w:rPr>
        <w:t>П</w:t>
      </w:r>
      <w:r w:rsidR="00615D6F">
        <w:rPr>
          <w:b w:val="0"/>
        </w:rPr>
        <w:t>риложение Б</w:t>
      </w:r>
    </w:p>
    <w:p w:rsidR="00615D6F" w:rsidRDefault="00615D6F" w:rsidP="00615D6F">
      <w:pPr>
        <w:pStyle w:val="1"/>
        <w:spacing w:before="200"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Нормативные нагрузки на обрезах фундаментов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596"/>
        <w:gridCol w:w="597"/>
        <w:gridCol w:w="597"/>
        <w:gridCol w:w="597"/>
        <w:gridCol w:w="597"/>
        <w:gridCol w:w="597"/>
        <w:gridCol w:w="597"/>
        <w:gridCol w:w="597"/>
        <w:gridCol w:w="597"/>
        <w:gridCol w:w="581"/>
      </w:tblGrid>
      <w:tr w:rsidR="00615D6F" w:rsidTr="006A0C2F">
        <w:trPr>
          <w:cantSplit/>
          <w:trHeight w:val="355"/>
        </w:trPr>
        <w:tc>
          <w:tcPr>
            <w:tcW w:w="1985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Фундамент</w:t>
            </w:r>
          </w:p>
        </w:tc>
        <w:tc>
          <w:tcPr>
            <w:tcW w:w="1134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Нагрузки, ед.изм.</w:t>
            </w:r>
          </w:p>
        </w:tc>
        <w:tc>
          <w:tcPr>
            <w:tcW w:w="5953" w:type="dxa"/>
            <w:gridSpan w:val="10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 варианта</w:t>
            </w:r>
          </w:p>
        </w:tc>
      </w:tr>
      <w:tr w:rsidR="00615D6F" w:rsidTr="006A0C2F">
        <w:trPr>
          <w:cantSplit/>
          <w:trHeight w:val="90"/>
        </w:trPr>
        <w:tc>
          <w:tcPr>
            <w:tcW w:w="1985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По осям </w:t>
            </w:r>
            <w:r>
              <w:rPr>
                <w:rFonts w:ascii="Times New Roman" w:hAnsi="Times New Roman"/>
                <w:i/>
                <w:sz w:val="22"/>
              </w:rPr>
              <w:t xml:space="preserve">А </w:t>
            </w:r>
            <w:r>
              <w:rPr>
                <w:rFonts w:ascii="Times New Roman" w:hAnsi="Times New Roman"/>
                <w:sz w:val="22"/>
              </w:rPr>
              <w:t xml:space="preserve">и </w:t>
            </w:r>
            <w:r>
              <w:rPr>
                <w:rFonts w:ascii="Times New Roman" w:hAnsi="Times New Roman"/>
                <w:i/>
                <w:sz w:val="22"/>
              </w:rPr>
              <w:t>Г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По оси </w:t>
            </w:r>
            <w:r>
              <w:rPr>
                <w:rFonts w:ascii="Times New Roman" w:hAnsi="Times New Roman"/>
                <w:i/>
                <w:sz w:val="22"/>
              </w:rPr>
              <w:t xml:space="preserve">Б </w:t>
            </w:r>
          </w:p>
          <w:p w:rsidR="00615D6F" w:rsidRDefault="00615D6F" w:rsidP="006A0C2F">
            <w:pPr>
              <w:ind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2"/>
              </w:rPr>
              <w:t>(под колонны)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</w:t>
            </w:r>
          </w:p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М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По оси </w:t>
            </w:r>
            <w:r>
              <w:rPr>
                <w:rFonts w:ascii="Times New Roman" w:hAnsi="Times New Roman"/>
                <w:i/>
                <w:sz w:val="22"/>
              </w:rPr>
              <w:t>В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Торцевые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Поперечные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</w:tbl>
    <w:p w:rsidR="00615D6F" w:rsidRDefault="00615D6F" w:rsidP="00615D6F">
      <w:pPr>
        <w:pStyle w:val="4"/>
        <w:spacing w:before="300" w:line="240" w:lineRule="auto"/>
        <w:jc w:val="center"/>
        <w:rPr>
          <w:b w:val="0"/>
        </w:rPr>
      </w:pPr>
      <w:r>
        <w:rPr>
          <w:b w:val="0"/>
        </w:rPr>
        <w:t>Приложение В</w:t>
      </w:r>
    </w:p>
    <w:p w:rsidR="00615D6F" w:rsidRDefault="00615D6F" w:rsidP="00615D6F">
      <w:pPr>
        <w:pStyle w:val="4"/>
        <w:spacing w:before="200" w:after="120" w:line="240" w:lineRule="auto"/>
        <w:jc w:val="center"/>
      </w:pPr>
      <w:r>
        <w:t>Характеристики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992"/>
        <w:gridCol w:w="992"/>
        <w:gridCol w:w="993"/>
        <w:gridCol w:w="708"/>
        <w:gridCol w:w="567"/>
        <w:gridCol w:w="567"/>
        <w:gridCol w:w="567"/>
        <w:gridCol w:w="851"/>
        <w:gridCol w:w="866"/>
      </w:tblGrid>
      <w:tr w:rsidR="00615D6F" w:rsidTr="006A0C2F">
        <w:trPr>
          <w:cantSplit/>
          <w:trHeight w:val="90"/>
        </w:trPr>
        <w:tc>
          <w:tcPr>
            <w:tcW w:w="56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слоя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Кривая 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грансостава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Мощность, м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i/>
                <w:sz w:val="20"/>
                <w:vertAlign w:val="subscript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</w:rPr>
              <w:t>,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91" w:right="-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sz w:val="24"/>
              </w:rPr>
              <w:t>,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</w:pPr>
            <w:r>
              <w:t>ω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</w:rPr>
            </w:pPr>
            <w:r>
              <w:rPr>
                <w:i w:val="0"/>
                <w:vertAlign w:val="subscript"/>
              </w:rPr>
              <w:t xml:space="preserve"> </w:t>
            </w:r>
            <w:r>
              <w:t>ω</w:t>
            </w:r>
            <w:r>
              <w:rPr>
                <w:vertAlign w:val="subscript"/>
              </w:rPr>
              <w:t>L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  <w:lang w:val="ru-RU"/>
              </w:rPr>
            </w:pPr>
            <w:r>
              <w:rPr>
                <w:i w:val="0"/>
                <w:vertAlign w:val="subscript"/>
              </w:rPr>
              <w:t xml:space="preserve"> </w:t>
            </w:r>
            <w:r>
              <w:t>ω</w:t>
            </w:r>
            <w:r>
              <w:rPr>
                <w:sz w:val="28"/>
                <w:vertAlign w:val="subscript"/>
                <w:lang w:val="ru-RU"/>
              </w:rPr>
              <w:t>р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sz w:val="24"/>
              </w:rPr>
              <w:t>, град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с</w:t>
            </w:r>
            <w:r>
              <w:rPr>
                <w:rFonts w:ascii="Times New Roman" w:hAnsi="Times New Roman"/>
                <w:sz w:val="24"/>
                <w:lang w:val="en-US"/>
              </w:rPr>
              <w:t>, МПа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9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МПа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,70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>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50</w:t>
            </w:r>
            <w:r>
              <w:rPr>
                <w:rFonts w:ascii="Times New Roman" w:hAnsi="Times New Roman"/>
                <w:sz w:val="24"/>
                <w:u w:val="single"/>
              </w:rPr>
              <w:t>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50,0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</w:t>
            </w: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362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401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45,0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</w:t>
            </w:r>
            <w:r>
              <w:rPr>
                <w:rFonts w:ascii="Times New Roman" w:hAnsi="Times New Roman"/>
                <w:sz w:val="24"/>
                <w:lang w:val="en-US"/>
              </w:rPr>
              <w:t>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296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39,0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213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317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252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32,0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  <w:r>
              <w:rPr>
                <w:rFonts w:ascii="Times New Roman" w:hAnsi="Times New Roman"/>
                <w:sz w:val="24"/>
                <w:lang w:val="en-US"/>
              </w:rPr>
              <w:t>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0,180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0,285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0,015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0,012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24,0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0,199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0,009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0,007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23,0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0,222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0,336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0,007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0,003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15,0</w:t>
            </w:r>
          </w:p>
        </w:tc>
      </w:tr>
      <w:tr w:rsidR="00615D6F" w:rsidTr="006A0C2F">
        <w:trPr>
          <w:cantSplit/>
          <w:trHeight w:val="398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0,268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0,323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0,094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0,058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13,0</w:t>
            </w:r>
          </w:p>
        </w:tc>
      </w:tr>
      <w:tr w:rsidR="00615D6F" w:rsidTr="006A0C2F">
        <w:trPr>
          <w:cantSplit/>
          <w:trHeight w:val="392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1,78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1,95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0,056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0,034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7,5</w:t>
            </w:r>
          </w:p>
        </w:tc>
      </w:tr>
      <w:tr w:rsidR="00615D6F" w:rsidTr="006A0C2F">
        <w:trPr>
          <w:cantSplit/>
          <w:trHeight w:val="414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0,144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0,061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0,030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8,5</w:t>
            </w:r>
          </w:p>
        </w:tc>
      </w:tr>
      <w:tr w:rsidR="00615D6F" w:rsidTr="006A0C2F">
        <w:trPr>
          <w:cantSplit/>
          <w:trHeight w:val="340"/>
        </w:trPr>
        <w:tc>
          <w:tcPr>
            <w:tcW w:w="9088" w:type="dxa"/>
            <w:gridSpan w:val="11"/>
            <w:vAlign w:val="center"/>
          </w:tcPr>
          <w:p w:rsidR="00615D6F" w:rsidRDefault="00615D6F" w:rsidP="006A0C2F">
            <w:pPr>
              <w:spacing w:before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В числителе даны характеристики грунтов, расположенных выше уровня грунтовых вод, в знаменателе – характеристики грунтов, расположенных ниже уровня грунтовых вод. Глины и суглинки в твердом и полутвердом состоянии считать водоупорным слоем.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Кривые гранулометрического состава грунтов приведены в приложении Г.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 xml:space="preserve">3. Обратная засыпка пазухов котлована и подсыпка под полы производиться супесью с послойным уплотнением до  </w:t>
            </w:r>
            <w:r>
              <w:rPr>
                <w:rFonts w:ascii="Times New Roman" w:hAnsi="Times New Roman"/>
                <w:i/>
                <w:sz w:val="24"/>
              </w:rPr>
              <w:t>ρ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bf</w:t>
            </w:r>
            <w:r>
              <w:rPr>
                <w:rFonts w:ascii="Times New Roman" w:hAnsi="Times New Roman"/>
                <w:sz w:val="24"/>
              </w:rPr>
              <w:t xml:space="preserve"> = 1,6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4"/>
              </w:rPr>
              <w:t xml:space="preserve"> = </w:t>
            </w:r>
            <w:r>
              <w:rPr>
                <w:rFonts w:ascii="Times New Roman" w:hAnsi="Times New Roman"/>
                <w:sz w:val="24"/>
              </w:rPr>
              <w:t>20 градусов.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  <w:p w:rsidR="00615D6F" w:rsidRDefault="00615D6F" w:rsidP="006A0C2F">
            <w:pPr>
              <w:ind w:left="-108" w:right="-150"/>
              <w:rPr>
                <w:rFonts w:ascii="Times New Roman" w:hAnsi="Times New Roman"/>
                <w:sz w:val="2"/>
                <w:u w:val="single"/>
              </w:rPr>
            </w:pPr>
          </w:p>
        </w:tc>
      </w:tr>
    </w:tbl>
    <w:tbl>
      <w:tblPr>
        <w:tblStyle w:val="ab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615D6F" w:rsidTr="006A0C2F">
        <w:trPr>
          <w:trHeight w:val="7087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615D6F" w:rsidRDefault="00615D6F" w:rsidP="006A0C2F">
            <w:pPr>
              <w:spacing w:line="288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189855" cy="4472940"/>
                  <wp:effectExtent l="0" t="0" r="0" b="3810"/>
                  <wp:docPr id="2" name="Рисунок 2" descr="Приложение 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Приложение 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3" t="4750" r="53410" b="49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855" cy="447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D6F" w:rsidRPr="008912D2" w:rsidRDefault="00615D6F" w:rsidP="00615D6F">
      <w:pPr>
        <w:spacing w:line="288" w:lineRule="auto"/>
        <w:jc w:val="both"/>
        <w:rPr>
          <w:rFonts w:ascii="Times New Roman" w:hAnsi="Times New Roman"/>
          <w:sz w:val="24"/>
          <w:szCs w:val="24"/>
        </w:rPr>
      </w:pPr>
    </w:p>
    <w:p w:rsidR="00615D6F" w:rsidRDefault="00615D6F" w:rsidP="00615D6F">
      <w:pPr>
        <w:pStyle w:val="4"/>
        <w:spacing w:before="120" w:line="240" w:lineRule="auto"/>
        <w:jc w:val="center"/>
        <w:rPr>
          <w:b w:val="0"/>
        </w:rPr>
      </w:pPr>
      <w:r>
        <w:rPr>
          <w:b w:val="0"/>
        </w:rPr>
        <w:t>Приложение Д</w:t>
      </w:r>
    </w:p>
    <w:p w:rsidR="00615D6F" w:rsidRDefault="00615D6F" w:rsidP="00615D6F">
      <w:pPr>
        <w:pStyle w:val="4"/>
        <w:spacing w:before="240" w:line="240" w:lineRule="auto"/>
        <w:jc w:val="center"/>
      </w:pPr>
      <w:r>
        <w:t xml:space="preserve">Последовательность расположения слоев, </w:t>
      </w:r>
    </w:p>
    <w:p w:rsidR="00615D6F" w:rsidRDefault="00615D6F" w:rsidP="00615D6F">
      <w:pPr>
        <w:pStyle w:val="4"/>
        <w:spacing w:after="240" w:line="240" w:lineRule="auto"/>
        <w:jc w:val="center"/>
      </w:pPr>
      <w:r>
        <w:t>уровень подземных вод и район строительства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2835"/>
        <w:gridCol w:w="2126"/>
      </w:tblGrid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буква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фамилии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Расположение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слоев грунта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поверхности вглубь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Глубина расположения уровня подземных вод от поверхности  </w:t>
            </w:r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i/>
                <w:sz w:val="24"/>
                <w:vertAlign w:val="subscript"/>
              </w:rPr>
              <w:t>ω</w:t>
            </w:r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строительства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А-В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11, 6, 1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Г-Е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12, 7, 2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Ж-И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10, 8, 3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7, 6, 5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Л, М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7, 3, 8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Н, О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5, 9, 4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8, 12, 3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Р, С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10, 5, 1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Т, У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3, 1, 9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Риддер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Ф-Ц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6, 12, 11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Ч-Щ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1, 8, 11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Э-Я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2, 8, 5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Тараз</w:t>
            </w:r>
          </w:p>
        </w:tc>
      </w:tr>
      <w:tr w:rsidR="00615D6F" w:rsidTr="006A0C2F">
        <w:trPr>
          <w:cantSplit/>
        </w:trPr>
        <w:tc>
          <w:tcPr>
            <w:tcW w:w="9072" w:type="dxa"/>
            <w:gridSpan w:val="4"/>
            <w:vAlign w:val="center"/>
          </w:tcPr>
          <w:p w:rsidR="00615D6F" w:rsidRDefault="00615D6F" w:rsidP="006A0C2F">
            <w:pPr>
              <w:spacing w:before="8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Нижним четвертым слоем является плотный галечниковый грунт.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Характеристики грунтов приведены в приложении В.</w:t>
            </w:r>
          </w:p>
          <w:p w:rsidR="00615D6F" w:rsidRPr="00303ABB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3. Сейсмичность района строительства не более 6 баллов.</w:t>
            </w:r>
          </w:p>
          <w:p w:rsidR="00615D6F" w:rsidRDefault="00615D6F" w:rsidP="006A0C2F">
            <w:pPr>
              <w:rPr>
                <w:rFonts w:ascii="Times New Roman" w:hAnsi="Times New Roman"/>
                <w:sz w:val="2"/>
              </w:rPr>
            </w:pPr>
          </w:p>
        </w:tc>
      </w:tr>
    </w:tbl>
    <w:p w:rsidR="00615D6F" w:rsidRDefault="00615D6F" w:rsidP="00615D6F">
      <w:pPr>
        <w:pStyle w:val="3"/>
        <w:spacing w:after="120"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Приложение Ж</w:t>
      </w:r>
    </w:p>
    <w:p w:rsidR="00615D6F" w:rsidRDefault="00615D6F" w:rsidP="00615D6F">
      <w:pPr>
        <w:pStyle w:val="3"/>
        <w:spacing w:line="240" w:lineRule="auto"/>
        <w:ind w:firstLine="0"/>
        <w:jc w:val="center"/>
      </w:pPr>
      <w:r>
        <w:t xml:space="preserve">Расчетные сопротивления  </w:t>
      </w:r>
      <w:r>
        <w:rPr>
          <w:i/>
        </w:rPr>
        <w:t>R</w:t>
      </w:r>
      <w:r>
        <w:rPr>
          <w:i/>
          <w:vertAlign w:val="subscript"/>
        </w:rPr>
        <w:t xml:space="preserve">0 </w:t>
      </w:r>
      <w:r>
        <w:rPr>
          <w:i/>
        </w:rPr>
        <w:t xml:space="preserve"> </w:t>
      </w:r>
      <w:r>
        <w:t>грунтов</w:t>
      </w:r>
    </w:p>
    <w:p w:rsidR="00615D6F" w:rsidRPr="00303ABB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Ж.1 - Расчетные сопротивления  </w:t>
      </w:r>
      <w:r>
        <w:rPr>
          <w:b w:val="0"/>
          <w:i/>
          <w:lang w:val="en-US"/>
        </w:rPr>
        <w:t>R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  <w:i/>
        </w:rPr>
        <w:t xml:space="preserve"> </w:t>
      </w:r>
      <w:r>
        <w:rPr>
          <w:b w:val="0"/>
        </w:rPr>
        <w:t>крупнообломочных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2835"/>
        <w:gridCol w:w="1701"/>
      </w:tblGrid>
      <w:tr w:rsidR="00615D6F" w:rsidRPr="00303ABB" w:rsidTr="006A0C2F">
        <w:trPr>
          <w:trHeight w:val="533"/>
        </w:trPr>
        <w:tc>
          <w:tcPr>
            <w:tcW w:w="2835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>)</w:t>
            </w:r>
          </w:p>
        </w:tc>
        <w:tc>
          <w:tcPr>
            <w:tcW w:w="2835" w:type="dxa"/>
            <w:tcBorders>
              <w:left w:val="nil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>)</w:t>
            </w:r>
          </w:p>
        </w:tc>
      </w:tr>
      <w:tr w:rsidR="00615D6F" w:rsidTr="006A0C2F">
        <w:trPr>
          <w:trHeight w:val="2552"/>
        </w:trPr>
        <w:tc>
          <w:tcPr>
            <w:tcW w:w="2835" w:type="dxa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Галечниковые (щебенистые)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пылевато-глинистым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0,5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r>
              <w:rPr>
                <w:b w:val="0"/>
                <w:sz w:val="24"/>
              </w:rPr>
              <w:t xml:space="preserve">,5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450 (4,5)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2835" w:type="dxa"/>
            <w:tcBorders>
              <w:left w:val="nil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Гравийные (дресвяные)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пылевато-глинистым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0,5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r>
              <w:rPr>
                <w:b w:val="0"/>
                <w:sz w:val="24"/>
              </w:rPr>
              <w:t xml:space="preserve">,5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350 (3,5)</w:t>
            </w:r>
          </w:p>
          <w:p w:rsidR="00615D6F" w:rsidRDefault="00615D6F" w:rsidP="006A0C2F">
            <w:pPr>
              <w:ind w:left="397"/>
              <w:rPr>
                <w:sz w:val="8"/>
              </w:rPr>
            </w:pPr>
          </w:p>
        </w:tc>
      </w:tr>
    </w:tbl>
    <w:p w:rsidR="00615D6F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Ж.2 -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песчаных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268"/>
        <w:gridCol w:w="2551"/>
      </w:tblGrid>
      <w:tr w:rsidR="00615D6F" w:rsidTr="006A0C2F">
        <w:trPr>
          <w:cantSplit/>
          <w:trHeight w:val="585"/>
        </w:trPr>
        <w:tc>
          <w:tcPr>
            <w:tcW w:w="4253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Пески</w:t>
            </w:r>
          </w:p>
        </w:tc>
        <w:tc>
          <w:tcPr>
            <w:tcW w:w="4819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), в зависимости от плотности сложения грунтов </w:t>
            </w:r>
          </w:p>
        </w:tc>
      </w:tr>
      <w:tr w:rsidR="00615D6F" w:rsidTr="006A0C2F">
        <w:trPr>
          <w:cantSplit/>
          <w:trHeight w:val="287"/>
        </w:trPr>
        <w:tc>
          <w:tcPr>
            <w:tcW w:w="4253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плотные</w:t>
            </w:r>
          </w:p>
        </w:tc>
        <w:tc>
          <w:tcPr>
            <w:tcW w:w="255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плотности</w:t>
            </w:r>
          </w:p>
        </w:tc>
      </w:tr>
      <w:tr w:rsidR="00615D6F" w:rsidTr="006A0C2F">
        <w:trPr>
          <w:trHeight w:val="2945"/>
        </w:trPr>
        <w:tc>
          <w:tcPr>
            <w:tcW w:w="4253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крупности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Мелкие: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влажные и насыщенные водой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Пылеватые: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влажные</w:t>
            </w:r>
          </w:p>
          <w:p w:rsidR="00615D6F" w:rsidRDefault="00615D6F" w:rsidP="006A0C2F">
            <w:pPr>
              <w:pStyle w:val="3"/>
              <w:spacing w:before="40" w:after="6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насыщенные водой   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18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150 (1,5)    </w:t>
            </w:r>
          </w:p>
        </w:tc>
        <w:tc>
          <w:tcPr>
            <w:tcW w:w="2551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150 (1,5)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   </w:t>
            </w:r>
          </w:p>
        </w:tc>
      </w:tr>
      <w:tr w:rsidR="00615D6F" w:rsidTr="006A0C2F">
        <w:trPr>
          <w:cantSplit/>
          <w:trHeight w:val="407"/>
        </w:trPr>
        <w:tc>
          <w:tcPr>
            <w:tcW w:w="9072" w:type="dxa"/>
            <w:gridSpan w:val="3"/>
            <w:vAlign w:val="center"/>
          </w:tcPr>
          <w:p w:rsidR="00615D6F" w:rsidRDefault="00615D6F" w:rsidP="006A0C2F">
            <w:pPr>
              <w:pStyle w:val="3"/>
              <w:spacing w:before="4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Примечание. В курсовом проекте 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 xml:space="preserve"> для рыхлых песков принимать как для песков средней плотности</w:t>
            </w:r>
          </w:p>
        </w:tc>
      </w:tr>
    </w:tbl>
    <w:p w:rsidR="00615D6F" w:rsidRDefault="00615D6F" w:rsidP="00615D6F">
      <w:pPr>
        <w:pStyle w:val="3"/>
        <w:spacing w:before="240" w:after="120" w:line="240" w:lineRule="auto"/>
        <w:ind w:left="1474" w:hanging="1474"/>
        <w:jc w:val="both"/>
        <w:rPr>
          <w:b w:val="0"/>
        </w:rPr>
      </w:pPr>
      <w:r>
        <w:rPr>
          <w:b w:val="0"/>
        </w:rPr>
        <w:t xml:space="preserve">Таблица Ж.3 -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пылевато-глинистых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984"/>
        <w:gridCol w:w="2268"/>
        <w:gridCol w:w="2268"/>
      </w:tblGrid>
      <w:tr w:rsidR="00615D6F" w:rsidTr="006A0C2F">
        <w:trPr>
          <w:cantSplit/>
          <w:trHeight w:val="565"/>
        </w:trPr>
        <w:tc>
          <w:tcPr>
            <w:tcW w:w="2552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Пылевато-глинистые грунты</w:t>
            </w:r>
          </w:p>
        </w:tc>
        <w:tc>
          <w:tcPr>
            <w:tcW w:w="1984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i/>
                <w:sz w:val="24"/>
              </w:rPr>
            </w:pPr>
            <w:r>
              <w:rPr>
                <w:b w:val="0"/>
                <w:sz w:val="24"/>
              </w:rPr>
              <w:t xml:space="preserve">Коэффициент пористости  </w:t>
            </w:r>
            <w:r>
              <w:rPr>
                <w:b w:val="0"/>
                <w:i/>
                <w:sz w:val="24"/>
              </w:rPr>
              <w:t>е</w:t>
            </w:r>
          </w:p>
        </w:tc>
        <w:tc>
          <w:tcPr>
            <w:tcW w:w="4536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>),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при показателе текучести грунта </w:t>
            </w:r>
          </w:p>
        </w:tc>
      </w:tr>
      <w:tr w:rsidR="00615D6F" w:rsidTr="006A0C2F">
        <w:trPr>
          <w:cantSplit/>
          <w:trHeight w:val="415"/>
        </w:trPr>
        <w:tc>
          <w:tcPr>
            <w:tcW w:w="2552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984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0</w:t>
            </w: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1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Супеси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0,7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Суглинки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180 (1,8)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  <w:tr w:rsidR="00615D6F" w:rsidTr="006A0C2F">
        <w:trPr>
          <w:trHeight w:val="1236"/>
        </w:trPr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>Глины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</w:tbl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Приложение К</w:t>
      </w:r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Коэффициенты  </w:t>
      </w:r>
      <w:r>
        <w:rPr>
          <w:rFonts w:ascii="Times New Roman" w:hAnsi="Times New Roman"/>
          <w:b/>
          <w:i/>
          <w:sz w:val="28"/>
        </w:rPr>
        <w:t>М</w:t>
      </w:r>
      <w:r>
        <w:rPr>
          <w:rFonts w:ascii="Times New Roman" w:hAnsi="Times New Roman"/>
          <w:b/>
          <w:i/>
          <w:sz w:val="28"/>
          <w:vertAlign w:val="subscript"/>
          <w:lang w:val="en-US"/>
        </w:rPr>
        <w:t>t</w:t>
      </w:r>
      <w:r w:rsidRPr="001F3963">
        <w:rPr>
          <w:rFonts w:ascii="Times New Roman" w:hAnsi="Times New Roman"/>
          <w:b/>
          <w:i/>
          <w:sz w:val="28"/>
          <w:vertAlign w:val="subscript"/>
        </w:rPr>
        <w:t xml:space="preserve">   </w:t>
      </w:r>
      <w:r w:rsidRPr="001F3963">
        <w:rPr>
          <w:rFonts w:ascii="Times New Roman" w:hAnsi="Times New Roman"/>
          <w:b/>
          <w:sz w:val="28"/>
        </w:rPr>
        <w:t xml:space="preserve">и 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k</w:t>
      </w:r>
      <w:r>
        <w:rPr>
          <w:rFonts w:ascii="Times New Roman" w:hAnsi="Times New Roman"/>
          <w:b/>
          <w:i/>
          <w:sz w:val="28"/>
          <w:vertAlign w:val="subscript"/>
        </w:rPr>
        <w:t>h</w:t>
      </w:r>
    </w:p>
    <w:p w:rsidR="00615D6F" w:rsidRDefault="00615D6F" w:rsidP="00615D6F">
      <w:pPr>
        <w:pStyle w:val="3"/>
        <w:spacing w:before="36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К.1 - Коэффициент </w:t>
      </w:r>
      <w:r>
        <w:rPr>
          <w:b w:val="0"/>
          <w:i/>
        </w:rPr>
        <w:t>М</w:t>
      </w:r>
      <w:r>
        <w:rPr>
          <w:b w:val="0"/>
          <w:i/>
          <w:vertAlign w:val="subscript"/>
          <w:lang w:val="en-US"/>
        </w:rPr>
        <w:t>t</w:t>
      </w:r>
      <w:r>
        <w:rPr>
          <w:b w:val="0"/>
        </w:rPr>
        <w:t xml:space="preserve">  в зависимости от среднемесячной температура воздуха за зиму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44"/>
        <w:gridCol w:w="744"/>
        <w:gridCol w:w="744"/>
        <w:gridCol w:w="744"/>
        <w:gridCol w:w="744"/>
        <w:gridCol w:w="744"/>
        <w:gridCol w:w="744"/>
        <w:gridCol w:w="745"/>
        <w:gridCol w:w="992"/>
      </w:tblGrid>
      <w:tr w:rsidR="00615D6F" w:rsidTr="006A0C2F">
        <w:trPr>
          <w:cantSplit/>
          <w:trHeight w:val="405"/>
        </w:trPr>
        <w:tc>
          <w:tcPr>
            <w:tcW w:w="2127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 строительства, город</w:t>
            </w:r>
          </w:p>
        </w:tc>
        <w:tc>
          <w:tcPr>
            <w:tcW w:w="5953" w:type="dxa"/>
            <w:gridSpan w:val="8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Месяцы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Коэффициент </w:t>
            </w:r>
            <w:r>
              <w:rPr>
                <w:rFonts w:ascii="Times New Roman" w:hAnsi="Times New Roman"/>
                <w:i/>
                <w:sz w:val="24"/>
              </w:rPr>
              <w:t>М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t</w:t>
            </w:r>
          </w:p>
        </w:tc>
      </w:tr>
      <w:tr w:rsidR="00615D6F" w:rsidTr="006A0C2F">
        <w:trPr>
          <w:cantSplit/>
          <w:trHeight w:val="405"/>
        </w:trPr>
        <w:tc>
          <w:tcPr>
            <w:tcW w:w="2127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IV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XII</w:t>
            </w:r>
          </w:p>
        </w:tc>
        <w:tc>
          <w:tcPr>
            <w:tcW w:w="992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-16</w:t>
            </w:r>
            <w:r>
              <w:rPr>
                <w:rFonts w:ascii="Times New Roman" w:hAnsi="Times New Roman"/>
                <w:sz w:val="24"/>
              </w:rPr>
              <w:t>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64</w:t>
            </w:r>
            <w:r>
              <w:rPr>
                <w:rFonts w:ascii="Times New Roman" w:hAnsi="Times New Roman"/>
                <w:sz w:val="24"/>
              </w:rPr>
              <w:t>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-19,5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55,0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65,7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-18,1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68,3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Риддер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-12,1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-11,2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48,8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-6,1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-13,8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Тараз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11,7</w:t>
            </w:r>
          </w:p>
        </w:tc>
      </w:tr>
    </w:tbl>
    <w:p w:rsidR="00615D6F" w:rsidRDefault="00615D6F" w:rsidP="00615D6F">
      <w:pPr>
        <w:pStyle w:val="3"/>
        <w:spacing w:before="480" w:after="120" w:line="240" w:lineRule="auto"/>
        <w:ind w:firstLine="0"/>
        <w:jc w:val="left"/>
        <w:rPr>
          <w:b w:val="0"/>
          <w:i/>
        </w:rPr>
      </w:pPr>
      <w:r>
        <w:rPr>
          <w:b w:val="0"/>
        </w:rPr>
        <w:t xml:space="preserve">Таблица К.2 - Коэффициента </w:t>
      </w:r>
      <w:r>
        <w:rPr>
          <w:b w:val="0"/>
          <w:i/>
        </w:rPr>
        <w:t>k</w:t>
      </w:r>
      <w:r>
        <w:rPr>
          <w:b w:val="0"/>
          <w:i/>
          <w:vertAlign w:val="subscript"/>
        </w:rPr>
        <w:t>h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169"/>
        <w:gridCol w:w="1170"/>
        <w:gridCol w:w="1169"/>
        <w:gridCol w:w="1170"/>
        <w:gridCol w:w="1417"/>
      </w:tblGrid>
      <w:tr w:rsidR="00615D6F" w:rsidTr="006A0C2F">
        <w:trPr>
          <w:cantSplit/>
          <w:trHeight w:val="868"/>
        </w:trPr>
        <w:tc>
          <w:tcPr>
            <w:tcW w:w="2977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Особенности 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сооружения</w:t>
            </w:r>
          </w:p>
        </w:tc>
        <w:tc>
          <w:tcPr>
            <w:tcW w:w="6095" w:type="dxa"/>
            <w:gridSpan w:val="5"/>
          </w:tcPr>
          <w:p w:rsidR="00615D6F" w:rsidRDefault="00615D6F" w:rsidP="006A0C2F">
            <w:pPr>
              <w:pStyle w:val="3"/>
              <w:spacing w:line="240" w:lineRule="auto"/>
              <w:ind w:left="397" w:right="397"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Коэффициент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 xml:space="preserve">при расчетной среднесуточной температуре воздуха в помещении, примыкающем к наружным фундаментам, </w:t>
            </w:r>
            <w:r>
              <w:rPr>
                <w:b w:val="0"/>
                <w:sz w:val="24"/>
                <w:vertAlign w:val="superscript"/>
              </w:rPr>
              <w:t>о</w:t>
            </w:r>
            <w:r>
              <w:rPr>
                <w:b w:val="0"/>
                <w:sz w:val="24"/>
              </w:rPr>
              <w:t>С</w:t>
            </w:r>
          </w:p>
        </w:tc>
      </w:tr>
      <w:tr w:rsidR="00615D6F" w:rsidTr="006A0C2F">
        <w:trPr>
          <w:cantSplit/>
          <w:trHeight w:val="288"/>
        </w:trPr>
        <w:tc>
          <w:tcPr>
            <w:tcW w:w="2977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left="-108" w:right="-108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 и более</w:t>
            </w:r>
          </w:p>
        </w:tc>
      </w:tr>
      <w:tr w:rsidR="00615D6F" w:rsidTr="006A0C2F">
        <w:tc>
          <w:tcPr>
            <w:tcW w:w="2977" w:type="dxa"/>
          </w:tcPr>
          <w:p w:rsidR="00615D6F" w:rsidRDefault="00615D6F" w:rsidP="006A0C2F">
            <w:pPr>
              <w:spacing w:before="4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 подвала с полами, устраиваемыми:</w:t>
            </w: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лагах 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утепленному цокольному перекрытию</w:t>
            </w:r>
          </w:p>
          <w:p w:rsidR="00615D6F" w:rsidRDefault="00615D6F" w:rsidP="006A0C2F">
            <w:pPr>
              <w:spacing w:before="12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подвалом или техническим подпольем</w:t>
            </w:r>
          </w:p>
          <w:p w:rsidR="00615D6F" w:rsidRDefault="00615D6F" w:rsidP="006A0C2F">
            <w:pPr>
              <w:spacing w:before="40"/>
              <w:ind w:left="113"/>
              <w:rPr>
                <w:sz w:val="2"/>
              </w:rPr>
            </w:pP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417" w:type="dxa"/>
          </w:tcPr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97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</w:tr>
      <w:tr w:rsidR="00615D6F" w:rsidTr="006A0C2F">
        <w:trPr>
          <w:cantSplit/>
          <w:trHeight w:val="2671"/>
        </w:trPr>
        <w:tc>
          <w:tcPr>
            <w:tcW w:w="9072" w:type="dxa"/>
            <w:gridSpan w:val="6"/>
          </w:tcPr>
          <w:p w:rsidR="00615D6F" w:rsidRDefault="00615D6F" w:rsidP="006A0C2F">
            <w:pPr>
              <w:pStyle w:val="3"/>
              <w:spacing w:line="252" w:lineRule="auto"/>
              <w:ind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 xml:space="preserve">Примечания: 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1. Приведенные  в таблице значения коэффициента  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 xml:space="preserve">h </w:t>
            </w:r>
            <w:r>
              <w:rPr>
                <w:b w:val="0"/>
                <w:sz w:val="24"/>
              </w:rPr>
              <w:t xml:space="preserve"> относятся к фундаментам, у  которых  расстояние от внешней грани стены  до  края  фундамента  </w:t>
            </w:r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 xml:space="preserve">f  </w:t>
            </w:r>
            <w:r>
              <w:rPr>
                <w:b w:val="0"/>
                <w:i/>
                <w:sz w:val="24"/>
              </w:rPr>
              <w:t xml:space="preserve">&lt;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b w:val="0"/>
                  <w:sz w:val="24"/>
                </w:rPr>
                <w:t>0,5 м</w:t>
              </w:r>
            </w:smartTag>
            <w:r>
              <w:rPr>
                <w:b w:val="0"/>
                <w:sz w:val="24"/>
              </w:rPr>
              <w:t xml:space="preserve">; если </w:t>
            </w:r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 xml:space="preserve">f  </w:t>
            </w:r>
            <w:r>
              <w:rPr>
                <w:b w:val="0"/>
                <w:position w:val="-4"/>
                <w:sz w:val="24"/>
              </w:rPr>
              <w:object w:dxaOrig="200" w:dyaOrig="240">
                <v:shape id="_x0000_i1025" type="#_x0000_t75" style="width:9.75pt;height:12.3pt" o:ole="" fillcolor="window">
                  <v:imagedata r:id="rId9" o:title=""/>
                </v:shape>
                <o:OLEObject Type="Embed" ProgID="Equation.3" ShapeID="_x0000_i1025" DrawAspect="Content" ObjectID="_1646672295" r:id="rId10"/>
              </w:object>
            </w:r>
            <w:r>
              <w:rPr>
                <w:b w:val="0"/>
                <w:sz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b w:val="0"/>
                  <w:sz w:val="24"/>
                </w:rPr>
                <w:t>1,5 м</w:t>
              </w:r>
            </w:smartTag>
            <w:r>
              <w:rPr>
                <w:b w:val="0"/>
                <w:sz w:val="24"/>
              </w:rPr>
              <w:t xml:space="preserve">, значение коэффициента 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sz w:val="24"/>
              </w:rPr>
              <w:t xml:space="preserve"> повышаются на 0,1, но не более чем до значения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 xml:space="preserve">h </w:t>
            </w:r>
            <w:r>
              <w:rPr>
                <w:b w:val="0"/>
                <w:sz w:val="24"/>
              </w:rPr>
              <w:t xml:space="preserve">= 1; при промежуточном размере </w:t>
            </w:r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 xml:space="preserve">f   </w:t>
            </w:r>
            <w:r>
              <w:rPr>
                <w:b w:val="0"/>
                <w:sz w:val="24"/>
              </w:rPr>
              <w:t xml:space="preserve">значения коэффициента </w:t>
            </w:r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r>
              <w:rPr>
                <w:b w:val="0"/>
                <w:sz w:val="24"/>
              </w:rPr>
              <w:t xml:space="preserve"> определяются по интерполяции.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 К помещениям, примыкающим к наружным фундаментам, относятся подвалы и технические подполья, а при их отсутствии - помещения первого этажа.</w:t>
            </w:r>
          </w:p>
          <w:p w:rsidR="00615D6F" w:rsidRPr="003B2D8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sz w:val="2"/>
              </w:rPr>
            </w:pPr>
            <w:r>
              <w:rPr>
                <w:b w:val="0"/>
                <w:sz w:val="24"/>
              </w:rPr>
              <w:t xml:space="preserve">3. При промежуточных значениях температуры воздуха коэффициент </w:t>
            </w:r>
            <w:r w:rsidRPr="007F02B9">
              <w:rPr>
                <w:b w:val="0"/>
                <w:sz w:val="24"/>
              </w:rPr>
              <w:t>kh</w:t>
            </w:r>
            <w:r>
              <w:rPr>
                <w:b w:val="0"/>
                <w:sz w:val="24"/>
              </w:rPr>
              <w:t xml:space="preserve"> принимается с округлением до ближайшего меньшего значения, указанного в таблице.</w:t>
            </w:r>
          </w:p>
        </w:tc>
      </w:tr>
    </w:tbl>
    <w:p w:rsidR="00615D6F" w:rsidRDefault="00615D6F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br w:type="page"/>
      </w:r>
      <w:r>
        <w:rPr>
          <w:b w:val="0"/>
        </w:rPr>
        <w:lastRenderedPageBreak/>
        <w:t>Приложение Л</w:t>
      </w:r>
    </w:p>
    <w:p w:rsidR="00615D6F" w:rsidRDefault="00615D6F" w:rsidP="00615D6F">
      <w:pPr>
        <w:pStyle w:val="1"/>
        <w:spacing w:before="120" w:after="12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Определение нагрузок  </w:t>
      </w:r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fII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</w:rPr>
        <w:t>gII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  <w:lang w:val="en-US"/>
        </w:rPr>
        <w:t>k</w:t>
      </w:r>
      <w:r>
        <w:rPr>
          <w:rFonts w:ascii="Times New Roman" w:hAnsi="Times New Roman"/>
          <w:i/>
          <w:vertAlign w:val="subscript"/>
        </w:rPr>
        <w:t>II</w:t>
      </w:r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</w:rPr>
        <w:t>qII</w:t>
      </w:r>
      <w:r>
        <w:rPr>
          <w:rFonts w:ascii="Times New Roman" w:hAnsi="Times New Roman"/>
        </w:rPr>
        <w:t xml:space="preserve">  в формуле (19)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260"/>
        <w:gridCol w:w="4394"/>
      </w:tblGrid>
      <w:tr w:rsidR="00615D6F" w:rsidTr="006A0C2F">
        <w:trPr>
          <w:trHeight w:val="810"/>
        </w:trPr>
        <w:tc>
          <w:tcPr>
            <w:tcW w:w="1418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Фундамент</w:t>
            </w:r>
          </w:p>
        </w:tc>
        <w:tc>
          <w:tcPr>
            <w:tcW w:w="3260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Схема действующей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нагрузки</w:t>
            </w:r>
          </w:p>
        </w:tc>
        <w:tc>
          <w:tcPr>
            <w:tcW w:w="439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Формулы для определения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нагрузок</w:t>
            </w:r>
          </w:p>
        </w:tc>
      </w:tr>
      <w:tr w:rsidR="00615D6F" w:rsidRPr="00E82BA6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 А;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А-В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6" type="#_x0000_t75" style="width:139.45pt;height:134.25pt" o:ole="" fillcolor="window">
                  <v:imagedata r:id="rId11" o:title="" croptop="9886f" cropbottom="16765f" cropleft="18852f" cropright="15642f"/>
                </v:shape>
                <o:OLEObject Type="Embed" ProgID="Рисунок" ShapeID="_x0000_i1026" DrawAspect="Content" ObjectID="_1646672296" r:id="rId12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(d -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bf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 В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7" type="#_x0000_t75" style="width:140.75pt;height:136.85pt" o:ole="" fillcolor="window">
                  <v:imagedata r:id="rId13" o:title="" croptop="5636f" cropbottom="12141f" cropleft="15704f" cropright="12078f"/>
                </v:shape>
                <o:OLEObject Type="Embed" ProgID="Рисунок" ShapeID="_x0000_i1027" DrawAspect="Content" ObjectID="_1646672297" r:id="rId14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)+(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 оси Г; 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В-Г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8" type="#_x0000_t75" style="width:148.55pt;height:140.1pt" o:ole="" fillcolor="window">
                  <v:imagedata r:id="rId15" o:title="" croptop="9876f" cropbottom="17399f" cropleft="17115f" cropright="17453f"/>
                </v:shape>
                <o:OLEObject Type="Embed" ProgID="Рисунок" ShapeID="_x0000_i1028" DrawAspect="Content" ObjectID="_1646672298" r:id="rId16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)+(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ind w:right="-5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поперечной стены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9" type="#_x0000_t75" style="width:152.45pt;height:147.9pt" o:ole="" fillcolor="window">
                  <v:imagedata r:id="rId17" o:title="" croptop="5936f" cropbottom="13505f" cropleft="16697f" cropright="12245f"/>
                </v:shape>
                <o:OLEObject Type="Embed" ProgID="Рисунок" ShapeID="_x0000_i1029" DrawAspect="Content" ObjectID="_1646672299" r:id="rId18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fII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s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-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bf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II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cf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rPr>
          <w:cantSplit/>
          <w:trHeight w:val="1407"/>
        </w:trPr>
        <w:tc>
          <w:tcPr>
            <w:tcW w:w="4678" w:type="dxa"/>
            <w:gridSpan w:val="2"/>
            <w:tcBorders>
              <w:right w:val="nil"/>
            </w:tcBorders>
          </w:tcPr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где: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-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)/ </w:t>
            </w:r>
            <w:r w:rsidRPr="002A7C9A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</w:t>
            </w:r>
            <w:r w:rsidRPr="002A7C9A">
              <w:rPr>
                <w:rFonts w:ascii="Times New Roman" w:hAnsi="Times New Roman"/>
                <w:sz w:val="28"/>
              </w:rPr>
              <w:t>1м;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=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,15 м"/>
              </w:smartTagPr>
              <w:r>
                <w:rPr>
                  <w:rFonts w:ascii="Times New Roman" w:hAnsi="Times New Roman"/>
                  <w:sz w:val="28"/>
                  <w:lang w:val="en-US"/>
                </w:rPr>
                <w:t>0,15 м</w:t>
              </w:r>
            </w:smartTag>
            <w:r>
              <w:rPr>
                <w:rFonts w:ascii="Times New Roman" w:hAnsi="Times New Roman"/>
                <w:sz w:val="28"/>
                <w:lang w:val="en-US"/>
              </w:rPr>
              <w:t>;</w:t>
            </w:r>
          </w:p>
        </w:tc>
        <w:tc>
          <w:tcPr>
            <w:tcW w:w="4394" w:type="dxa"/>
            <w:tcBorders>
              <w:left w:val="nil"/>
            </w:tcBorders>
          </w:tcPr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24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16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= </w:t>
            </w:r>
            <w:r w:rsidRPr="002A7C9A">
              <w:rPr>
                <w:rFonts w:ascii="Times New Roman" w:hAnsi="Times New Roman"/>
                <w:sz w:val="28"/>
              </w:rPr>
              <w:t>22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</w:t>
            </w:r>
            <w:r w:rsidRPr="002A7C9A">
              <w:rPr>
                <w:rFonts w:ascii="Times New Roman" w:hAnsi="Times New Roman"/>
                <w:sz w:val="28"/>
              </w:rPr>
              <w:t xml:space="preserve"> 10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2</w:t>
            </w:r>
            <w:r w:rsidRPr="002A7C9A">
              <w:rPr>
                <w:rFonts w:ascii="Times New Roman" w:hAnsi="Times New Roman"/>
                <w:sz w:val="28"/>
              </w:rPr>
              <w:t>.</w:t>
            </w:r>
          </w:p>
        </w:tc>
      </w:tr>
    </w:tbl>
    <w:p w:rsidR="00615D6F" w:rsidRDefault="00615D6F" w:rsidP="00615D6F">
      <w:pPr>
        <w:jc w:val="both"/>
        <w:rPr>
          <w:rFonts w:ascii="Times New Roman" w:hAnsi="Times New Roman"/>
          <w:sz w:val="4"/>
        </w:rPr>
      </w:pPr>
    </w:p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М</w:t>
      </w:r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Данные для определения несущей способности свай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М.1 – Значения расчетных сопротивлений </w:t>
      </w:r>
      <w:r>
        <w:rPr>
          <w:b w:val="0"/>
          <w:lang w:val="en-US"/>
        </w:rPr>
        <w:t>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1134"/>
        <w:gridCol w:w="1134"/>
        <w:gridCol w:w="1134"/>
        <w:gridCol w:w="1134"/>
        <w:gridCol w:w="1134"/>
        <w:gridCol w:w="1134"/>
      </w:tblGrid>
      <w:tr w:rsidR="00615D6F" w:rsidTr="006A0C2F">
        <w:trPr>
          <w:cantSplit/>
        </w:trPr>
        <w:tc>
          <w:tcPr>
            <w:tcW w:w="1418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Глубина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погружения нижнего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конца сваи, м</w:t>
            </w:r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Расчетные сопротивления под нижним концом забивных свай и свай-оболочек,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погружаемых без выемки грунта, </w:t>
            </w:r>
            <w:r>
              <w:rPr>
                <w:sz w:val="20"/>
                <w:lang w:val="en-US"/>
              </w:rPr>
              <w:t>R</w:t>
            </w:r>
            <w:r>
              <w:rPr>
                <w:sz w:val="20"/>
              </w:rPr>
              <w:t>, кПа (тс/м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  <w:trHeight w:val="341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  <w:trHeight w:val="560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гравелистых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крупных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средней крупности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0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342AB">
              <w:rPr>
                <w:i/>
                <w:sz w:val="20"/>
                <w:lang w:val="en-US"/>
              </w:rPr>
              <w:t>I</w:t>
            </w:r>
            <w:r w:rsidRPr="00A342AB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387"/>
        </w:trPr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</w:tr>
      <w:tr w:rsidR="00615D6F" w:rsidTr="006A0C2F">
        <w:trPr>
          <w:cantSplit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6600 (660)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3000 (300)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3100 (310)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2000 (200)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 (60)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8300 (830)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6800 (680)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5100 (510)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3200 (320)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2500 (250)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2100 (210)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1600 (160)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1250 (125)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700 (70)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8800 (880)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7000 (700)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3400 (340)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2800 (280)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2200 (220)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 (80)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9700 (970)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7300 (730)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6900 (690)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4300 (430)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3700 (370)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3300 (330)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2400 (240)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2200 (220)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 (85)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10500 (1050)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7700 (770)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7300 (730)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5000 (500)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4000 (400)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2600 (260)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2400 (240)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 (150)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 (90)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11700 (1170)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8200 (820)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4400 (440)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2900 (290)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1650 (165)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 (100)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12600 (1260)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8500 (850)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4800 (480)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4500 (450)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3200 (320)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1800 (180)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13400 (1340)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9000 (900)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6800 (680)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5200 (520)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1950 (195)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14200 (1420)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9500 (950)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7400 (740)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2100 (210)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15000 (1500)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10000 (1000)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8000 (800)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6000 (600)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4100 (410)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2250 (225)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</w:tr>
    </w:tbl>
    <w:p w:rsidR="00615D6F" w:rsidRPr="00541DE2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541DE2">
        <w:rPr>
          <w:spacing w:val="20"/>
          <w:sz w:val="24"/>
          <w:szCs w:val="24"/>
        </w:rPr>
        <w:t>Примечания:</w:t>
      </w:r>
      <w:r w:rsidRPr="00541DE2">
        <w:rPr>
          <w:sz w:val="24"/>
          <w:szCs w:val="24"/>
        </w:rPr>
        <w:t xml:space="preserve"> 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Над чертой даны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для песчаных грунтов, под чертой </w:t>
      </w:r>
      <w:r w:rsidRPr="00541DE2">
        <w:rPr>
          <w:sz w:val="24"/>
          <w:szCs w:val="24"/>
        </w:rPr>
        <w:noBreakHyphen/>
        <w:t xml:space="preserve"> для пылевато-глинистых.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В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1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2 глубину погружения нижнего конца сваи и среднюю глубину расположения слоя грунта при планировке территории срезкой, подсыпкой, намывом до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следует принимать от уровня природного рельефа, а при срезке, подсыпке, намыве от 3 до </w:t>
      </w:r>
      <w:smartTag w:uri="urn:schemas-microsoft-com:office:smarttags" w:element="metricconverter">
        <w:smartTagPr>
          <w:attr w:name="ProductID" w:val="10 м"/>
        </w:smartTagPr>
        <w:r w:rsidRPr="00541DE2">
          <w:rPr>
            <w:sz w:val="24"/>
            <w:szCs w:val="24"/>
          </w:rPr>
          <w:t>10 м</w:t>
        </w:r>
      </w:smartTag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noBreakHyphen/>
        <w:t xml:space="preserve"> от условной отметки, расположенной соответственно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выше уровня срезки или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ниже уровня подсыпки.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Глубину погружения нижнего конца сваи и среднюю глубину расположения слоя грунта в водоеме следует принимать от уровня дна после общего размыва расчетным паводком, на болотах </w:t>
      </w:r>
      <w:r w:rsidRPr="00541DE2">
        <w:rPr>
          <w:sz w:val="24"/>
          <w:szCs w:val="24"/>
        </w:rPr>
        <w:noBreakHyphen/>
        <w:t xml:space="preserve"> от уровня дна болота.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При проектировании путепроводов через выемки глубиной до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для свай, забиваемых молотами без подмыва или устройства лидерных скважин, глубину погружения в грунт нижнего конца сваи в табл.</w:t>
      </w:r>
      <w:r>
        <w:rPr>
          <w:sz w:val="24"/>
          <w:szCs w:val="24"/>
        </w:rPr>
        <w:t xml:space="preserve"> М</w:t>
      </w:r>
      <w:r w:rsidRPr="00541DE2">
        <w:rPr>
          <w:sz w:val="24"/>
          <w:szCs w:val="24"/>
        </w:rPr>
        <w:t xml:space="preserve">1 следует принимать от уровня природного рельефа в месте сооружения фундамента. Для выемок глубиной более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глубину погружения свай следует принимать как для выемок глубиной 6м.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промежуточных глубин погружения свай и промежуточных значений показателя текучести </w:t>
      </w:r>
      <w:r w:rsidRPr="00541DE2">
        <w:rPr>
          <w:i/>
          <w:sz w:val="24"/>
          <w:szCs w:val="24"/>
        </w:rPr>
        <w:t>I</w:t>
      </w:r>
      <w:r w:rsidRPr="00541DE2">
        <w:rPr>
          <w:i/>
          <w:sz w:val="24"/>
          <w:szCs w:val="24"/>
          <w:vertAlign w:val="subscript"/>
        </w:rPr>
        <w:t>L</w:t>
      </w:r>
      <w:r w:rsidRPr="00541DE2">
        <w:rPr>
          <w:sz w:val="24"/>
          <w:szCs w:val="24"/>
        </w:rPr>
        <w:t xml:space="preserve"> пылевато-глинистых грунтов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r w:rsidRPr="00541DE2">
        <w:rPr>
          <w:sz w:val="24"/>
          <w:szCs w:val="24"/>
        </w:rPr>
        <w:t xml:space="preserve"> в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1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2 определяются интерполяцией.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плотных песчаных грунтов, степень плотности которых определена по данным статического зондирования,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1 для свай, погруженных без использования подмыва или лидерных скважин, следует увеличить на 100 %. При </w:t>
      </w:r>
      <w:r w:rsidRPr="00541DE2">
        <w:rPr>
          <w:sz w:val="24"/>
          <w:szCs w:val="24"/>
        </w:rPr>
        <w:lastRenderedPageBreak/>
        <w:t xml:space="preserve">определении степени плотности грунта по данным других видов инженерных изысканий и отсутствии данных статического зондирования для плотных песков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1 следует увеличить на 60 %, но не более чем до 20 000 кПа (2000 тс/м</w:t>
      </w:r>
      <w:r w:rsidRPr="00541DE2">
        <w:rPr>
          <w:sz w:val="24"/>
          <w:szCs w:val="24"/>
          <w:vertAlign w:val="superscript"/>
        </w:rPr>
        <w:t>2</w:t>
      </w:r>
      <w:r w:rsidRPr="00541DE2">
        <w:rPr>
          <w:sz w:val="24"/>
          <w:szCs w:val="24"/>
        </w:rPr>
        <w:t>).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расчетных сопротивлений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1 допускается использовать при условии, если заглубление свай в неразмываемый и несрезаемый грунт составляет не менее, м: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 xml:space="preserve">4,0 — для мостов и гидротехнических сооружений;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>3,0 —</w:t>
      </w:r>
      <w:r>
        <w:rPr>
          <w:sz w:val="24"/>
          <w:szCs w:val="24"/>
        </w:rPr>
        <w:t xml:space="preserve"> для зданий и прочих сооружений.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расчетного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под нижним концом забивных свай сечением 0,15х0,15 м и менее, используемых в качестве фундаментов под внутренние перегородки одноэтажных производственных зданий, допускается увеличивать на 20 %.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супесей при числе пластичности </w:t>
      </w:r>
      <w:r w:rsidRPr="00541DE2">
        <w:rPr>
          <w:i/>
          <w:sz w:val="24"/>
          <w:szCs w:val="24"/>
        </w:rPr>
        <w:t>l</w:t>
      </w:r>
      <w:r w:rsidRPr="00541DE2">
        <w:rPr>
          <w:i/>
          <w:sz w:val="24"/>
          <w:szCs w:val="24"/>
          <w:vertAlign w:val="subscript"/>
        </w:rPr>
        <w:t>p</w:t>
      </w:r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sym w:font="Symbol" w:char="F0A3"/>
      </w:r>
      <w:r w:rsidRPr="00541DE2">
        <w:rPr>
          <w:sz w:val="24"/>
          <w:szCs w:val="24"/>
        </w:rPr>
        <w:t xml:space="preserve"> 4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и коэффициенте пористости </w:t>
      </w:r>
      <w:r w:rsidRPr="00541DE2">
        <w:rPr>
          <w:i/>
          <w:sz w:val="24"/>
          <w:szCs w:val="24"/>
        </w:rPr>
        <w:t>е</w:t>
      </w:r>
      <w:r w:rsidRPr="00541DE2">
        <w:rPr>
          <w:sz w:val="24"/>
          <w:szCs w:val="24"/>
        </w:rPr>
        <w:t xml:space="preserve"> &lt; 0,8 расчетные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r w:rsidRPr="00541DE2">
        <w:rPr>
          <w:sz w:val="24"/>
          <w:szCs w:val="24"/>
        </w:rPr>
        <w:t xml:space="preserve"> следует определять как для пылеватых песков средней плотности.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>Таблица М.2 – Значения расчетных сопротивлений</w:t>
      </w:r>
      <w:r w:rsidRPr="00290F0C">
        <w:rPr>
          <w:b w:val="0"/>
        </w:rPr>
        <w:t xml:space="preserve"> </w:t>
      </w:r>
      <w:r>
        <w:rPr>
          <w:b w:val="0"/>
        </w:rPr>
        <w:t xml:space="preserve"> </w:t>
      </w:r>
      <w:r w:rsidRPr="00290F0C">
        <w:rPr>
          <w:b w:val="0"/>
          <w:i/>
          <w:lang w:val="en-US"/>
        </w:rPr>
        <w:t>f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134"/>
        <w:gridCol w:w="850"/>
        <w:gridCol w:w="851"/>
        <w:gridCol w:w="850"/>
        <w:gridCol w:w="851"/>
        <w:gridCol w:w="992"/>
        <w:gridCol w:w="850"/>
        <w:gridCol w:w="851"/>
        <w:gridCol w:w="850"/>
      </w:tblGrid>
      <w:tr w:rsidR="00615D6F" w:rsidTr="006A0C2F">
        <w:trPr>
          <w:cantSplit/>
        </w:trPr>
        <w:tc>
          <w:tcPr>
            <w:tcW w:w="993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Средняя глубина расположения слоя грунта, м</w:t>
            </w:r>
          </w:p>
        </w:tc>
        <w:tc>
          <w:tcPr>
            <w:tcW w:w="8079" w:type="dxa"/>
            <w:gridSpan w:val="9"/>
            <w:vAlign w:val="center"/>
          </w:tcPr>
          <w:p w:rsidR="00615D6F" w:rsidRPr="00AA0236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Расчетные сопротивления на боковой поверхности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  <w:lang w:val="en-US"/>
              </w:rPr>
              <w:t>f</w:t>
            </w:r>
            <w:r>
              <w:rPr>
                <w:i/>
                <w:sz w:val="20"/>
                <w:vertAlign w:val="subscript"/>
                <w:lang w:val="en-US"/>
              </w:rPr>
              <w:t>i</w:t>
            </w:r>
            <w:r>
              <w:rPr>
                <w:sz w:val="20"/>
              </w:rPr>
              <w:t>, кПа (тс/м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крупных и средней крупности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48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A0236">
              <w:rPr>
                <w:i/>
                <w:sz w:val="20"/>
                <w:lang w:val="en-US"/>
              </w:rPr>
              <w:t>I</w:t>
            </w:r>
            <w:r w:rsidRPr="00AA0236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281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0,,5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 (2,3)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 (1,5)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4(0,4)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(0,3)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(0,2)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48 (4,8)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 (1,4)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53 (5,3)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 (1,6)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 (4,0)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 (2,9)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 (2,4)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58 (5,8)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31 (3,1)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 (1,8)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 (6,2)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 (3,3)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 (2,6)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65 (6,5)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46 (4,6)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72 (7,2)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 (5,1)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 (2,8)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 (1,1)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79 (7,9)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 (4,1)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86 (8,6)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61 (6,1)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 (3,2)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93 (9,3)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66 (6,6)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47 (4,7)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 (10,0)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 (7,0)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 (5,0)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36 (3,6)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 (1,3)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</w:tbl>
    <w:p w:rsidR="00615D6F" w:rsidRPr="000F1983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0F1983">
        <w:rPr>
          <w:spacing w:val="20"/>
          <w:sz w:val="24"/>
          <w:szCs w:val="24"/>
        </w:rPr>
        <w:t>Примечания</w:t>
      </w:r>
      <w:r w:rsidRPr="000F1983">
        <w:rPr>
          <w:sz w:val="24"/>
          <w:szCs w:val="24"/>
        </w:rPr>
        <w:t xml:space="preserve">: 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расчетного сопротивления грунта на боковой поверхности свай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sz w:val="24"/>
          <w:szCs w:val="24"/>
        </w:rPr>
        <w:t xml:space="preserve">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2 следует учитывать требования, изложенные в примеч.</w:t>
      </w:r>
      <w:r>
        <w:rPr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2 и 3 к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1.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по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 xml:space="preserve">2 расчетных сопротивлений грунтов на боковой поверхности свай </w:t>
      </w:r>
      <w:r>
        <w:rPr>
          <w:sz w:val="24"/>
          <w:szCs w:val="24"/>
        </w:rPr>
        <w:t xml:space="preserve">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sz w:val="24"/>
          <w:szCs w:val="24"/>
        </w:rPr>
        <w:t xml:space="preserve"> пласты грунтов следует расчленять на однородные слои толщиной не более </w:t>
      </w:r>
      <w:smartTag w:uri="urn:schemas-microsoft-com:office:smarttags" w:element="metricconverter">
        <w:smartTagPr>
          <w:attr w:name="ProductID" w:val="2 м"/>
        </w:smartTagPr>
        <w:r w:rsidRPr="000F1983">
          <w:rPr>
            <w:sz w:val="24"/>
            <w:szCs w:val="24"/>
          </w:rPr>
          <w:t>2 м</w:t>
        </w:r>
      </w:smartTag>
      <w:r w:rsidRPr="000F1983">
        <w:rPr>
          <w:sz w:val="24"/>
          <w:szCs w:val="24"/>
        </w:rPr>
        <w:t>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Значения расчетного сопротивления плотных песчаных грунтов на боковой поверхности свай </w:t>
      </w:r>
      <w:r>
        <w:rPr>
          <w:sz w:val="24"/>
          <w:szCs w:val="24"/>
        </w:rPr>
        <w:t xml:space="preserve"> </w:t>
      </w:r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r w:rsidRPr="000F1983">
        <w:rPr>
          <w:i/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следует увеличивать на 30% по сравнению со значениями, приведенными в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2.</w:t>
      </w:r>
    </w:p>
    <w:p w:rsidR="00615D6F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Расчетные сопротивления супесей и суглинков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0,5 и глин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0,6 следует увеличивать на 15 % по сравнению со значениями, приведенными в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2, при любых значениях показателя текучести.</w:t>
      </w:r>
    </w:p>
    <w:p w:rsidR="00615D6F" w:rsidRDefault="00615D6F" w:rsidP="00615D6F">
      <w:pPr>
        <w:pStyle w:val="a7"/>
        <w:spacing w:after="120" w:line="240" w:lineRule="auto"/>
      </w:pPr>
      <w:r>
        <w:rPr>
          <w:sz w:val="24"/>
          <w:szCs w:val="24"/>
        </w:rPr>
        <w:br w:type="page"/>
      </w:r>
      <w:r>
        <w:lastRenderedPageBreak/>
        <w:t>Таблица М.3 – Значения коэффициентов условий работы грунта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913"/>
        <w:gridCol w:w="1914"/>
      </w:tblGrid>
      <w:tr w:rsidR="00615D6F" w:rsidTr="006A0C2F">
        <w:trPr>
          <w:cantSplit/>
          <w:trHeight w:val="548"/>
          <w:jc w:val="center"/>
        </w:trPr>
        <w:tc>
          <w:tcPr>
            <w:tcW w:w="5245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Способы погружения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погружаемых без выемки грунта, и виды грунтов</w:t>
            </w:r>
          </w:p>
        </w:tc>
        <w:tc>
          <w:tcPr>
            <w:tcW w:w="3827" w:type="dxa"/>
            <w:gridSpan w:val="2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Коэффициенты условий работы грунта при расчете несущей способности свай</w:t>
            </w:r>
          </w:p>
        </w:tc>
      </w:tr>
      <w:tr w:rsidR="00615D6F" w:rsidTr="006A0C2F">
        <w:trPr>
          <w:cantSplit/>
          <w:trHeight w:val="640"/>
          <w:jc w:val="center"/>
        </w:trPr>
        <w:tc>
          <w:tcPr>
            <w:tcW w:w="5245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 нижним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vertAlign w:val="subscript"/>
              </w:rPr>
            </w:pPr>
            <w:r>
              <w:rPr>
                <w:sz w:val="20"/>
              </w:rPr>
              <w:t>концом γ</w:t>
            </w:r>
            <w:r>
              <w:rPr>
                <w:sz w:val="20"/>
                <w:vertAlign w:val="subscript"/>
              </w:rPr>
              <w:t>с</w:t>
            </w:r>
            <w:r>
              <w:rPr>
                <w:sz w:val="20"/>
                <w:vertAlign w:val="subscript"/>
                <w:lang w:val="en-US"/>
              </w:rPr>
              <w:t>R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боковой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>поверхности γ</w:t>
            </w:r>
            <w:r>
              <w:rPr>
                <w:sz w:val="20"/>
                <w:vertAlign w:val="subscript"/>
              </w:rPr>
              <w:t>с</w:t>
            </w:r>
            <w:r>
              <w:rPr>
                <w:i/>
                <w:sz w:val="20"/>
                <w:vertAlign w:val="subscript"/>
                <w:lang w:val="en-US"/>
              </w:rPr>
              <w:t>f</w:t>
            </w:r>
          </w:p>
        </w:tc>
      </w:tr>
      <w:tr w:rsidR="00615D6F" w:rsidTr="006A0C2F">
        <w:trPr>
          <w:cantSplit/>
          <w:trHeight w:val="74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1. Погружение сплошных и полых с закрытым нижним концом свай механическими (подвесными), паровоздушными и дизельными молотами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17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2. Погружение забивкой и вдавливанием в предварительно пробуренные лидерные скважины с заглублением концов свай не менее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ниже забоя скважины при ее диаметре: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>а) равном стороне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на </w:t>
            </w:r>
            <w:smartTag w:uri="urn:schemas-microsoft-com:office:smarttags" w:element="metricconverter">
              <w:smartTagPr>
                <w:attr w:name="ProductID" w:val="0,05 м"/>
              </w:smartTagPr>
              <w:r>
                <w:rPr>
                  <w:sz w:val="20"/>
                </w:rPr>
                <w:t>0,05 м</w:t>
              </w:r>
            </w:smartTag>
            <w:r>
              <w:rPr>
                <w:sz w:val="20"/>
              </w:rPr>
              <w:t xml:space="preserve"> менее стороны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>в) на 0,15м менее стороны квадратной или диаметра сваи круглого сечения (для опор линий электропередачи)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</w:tr>
      <w:tr w:rsidR="00615D6F" w:rsidTr="006A0C2F">
        <w:trPr>
          <w:cantSplit/>
          <w:trHeight w:val="81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3. Погружение с подмывом в песчаные грунты при условии добивки свай на последнем этапе погружения без применения подмыва на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и более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615D6F" w:rsidTr="006A0C2F">
        <w:trPr>
          <w:cantSplit/>
          <w:trHeight w:val="2701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4. Вибропогружение свай-оболочек, вибропогружение и вибровдавливание свай в грунты: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>а) песчаные средней плотности:</w:t>
            </w:r>
          </w:p>
          <w:p w:rsidR="00615D6F" w:rsidRDefault="00615D6F" w:rsidP="006A0C2F">
            <w:pPr>
              <w:pStyle w:val="a7"/>
              <w:spacing w:line="240" w:lineRule="auto"/>
              <w:ind w:left="601" w:hanging="283"/>
              <w:jc w:val="left"/>
              <w:rPr>
                <w:sz w:val="20"/>
              </w:rPr>
            </w:pPr>
            <w:r>
              <w:rPr>
                <w:sz w:val="20"/>
              </w:rPr>
              <w:t>крупные и средней крупности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мелкие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пылеватые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б)пылевато-глинистые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=</w:t>
            </w:r>
            <w:r>
              <w:rPr>
                <w:sz w:val="20"/>
              </w:rPr>
              <w:t xml:space="preserve"> 0,5: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супеси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суглинки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глины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пылевато-глинистые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00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numPr>
                <w:ilvl w:val="0"/>
                <w:numId w:val="16"/>
              </w:numPr>
              <w:tabs>
                <w:tab w:val="clear" w:pos="887"/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>Погружение молотами любой конструкции полых железобетонных свай с открытым нижним концом: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при диаметре полости сваи </w:t>
            </w: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sz w:val="20"/>
                </w:rPr>
                <w:t>0,4 м</w:t>
              </w:r>
            </w:smartTag>
            <w:r>
              <w:rPr>
                <w:sz w:val="20"/>
              </w:rPr>
              <w:t xml:space="preserve"> и менее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то же, от 0,4 до </w:t>
            </w:r>
            <w:smartTag w:uri="urn:schemas-microsoft-com:office:smarttags" w:element="metricconverter">
              <w:smartTagPr>
                <w:attr w:name="ProductID" w:val="0,8 м"/>
              </w:smartTagPr>
              <w:r>
                <w:rPr>
                  <w:sz w:val="20"/>
                </w:rPr>
                <w:t>0,8 м</w:t>
              </w:r>
            </w:smartTag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482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6. Погружение любым способом полых свай круглого сечения с закрытым нижним концом на глубину </w:t>
            </w:r>
            <w:smartTag w:uri="urn:schemas-microsoft-com:office:smarttags" w:element="metricconverter">
              <w:smartTagPr>
                <w:attr w:name="ProductID" w:val="10 м"/>
              </w:smartTagPr>
              <w:r>
                <w:rPr>
                  <w:sz w:val="20"/>
                </w:rPr>
                <w:t>10 м</w:t>
              </w:r>
            </w:smartTag>
            <w:r>
              <w:rPr>
                <w:sz w:val="20"/>
              </w:rPr>
              <w:t xml:space="preserve"> и более с последующим устройством в нижнем конце свай камуфлетного уширения в песчаных грунтах средней плотности и в пылевато-глинистых грунтах с показателем текучести</w:t>
            </w:r>
            <w:r>
              <w:rPr>
                <w:i/>
                <w:spacing w:val="-8"/>
                <w:sz w:val="20"/>
              </w:rPr>
              <w:t xml:space="preserve"> 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0,5 при диаметре уширения, равном: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smartTag w:uri="urn:schemas-microsoft-com:office:smarttags" w:element="metricconverter">
              <w:smartTagPr>
                <w:attr w:name="ProductID" w:val="1,0 м"/>
              </w:smartTagPr>
              <w:r>
                <w:rPr>
                  <w:sz w:val="20"/>
                </w:rPr>
                <w:t>1,0 м</w:t>
              </w:r>
            </w:smartTag>
            <w:r>
              <w:rPr>
                <w:sz w:val="20"/>
              </w:rPr>
              <w:t xml:space="preserve"> независимо от указанных видов грунта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песках и супесях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суглинках и глинах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863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7. Погружение вдавливанием свай: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а) в пески средней плотности крупные, средней крупности и мелкие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б) в пески пылеватые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в пылевато-глинистые грунты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&lt;</w:t>
            </w:r>
            <w:r>
              <w:rPr>
                <w:sz w:val="20"/>
              </w:rPr>
              <w:t xml:space="preserve"> 0,5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г) то же,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≥</w:t>
            </w:r>
            <w:r>
              <w:rPr>
                <w:sz w:val="20"/>
              </w:rPr>
              <w:t xml:space="preserve"> 0,5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</w:tbl>
    <w:p w:rsidR="00615D6F" w:rsidRPr="00B5027D" w:rsidRDefault="00615D6F" w:rsidP="00615D6F">
      <w:pPr>
        <w:pStyle w:val="a7"/>
        <w:spacing w:before="120" w:line="252" w:lineRule="auto"/>
        <w:ind w:firstLine="567"/>
        <w:rPr>
          <w:sz w:val="24"/>
          <w:szCs w:val="24"/>
        </w:rPr>
      </w:pPr>
      <w:r w:rsidRPr="00B5027D">
        <w:rPr>
          <w:spacing w:val="20"/>
          <w:sz w:val="24"/>
          <w:szCs w:val="24"/>
        </w:rPr>
        <w:t>Примечание</w:t>
      </w:r>
      <w:r w:rsidRPr="00B5027D">
        <w:rPr>
          <w:sz w:val="24"/>
          <w:szCs w:val="24"/>
        </w:rPr>
        <w:t xml:space="preserve">. Коэффициенты </w:t>
      </w:r>
      <w:r w:rsidRPr="00B5027D">
        <w:rPr>
          <w:i/>
          <w:sz w:val="24"/>
          <w:szCs w:val="24"/>
        </w:rPr>
        <w:sym w:font="Symbol" w:char="F067"/>
      </w:r>
      <w:r w:rsidRPr="00B5027D">
        <w:rPr>
          <w:i/>
          <w:sz w:val="24"/>
          <w:szCs w:val="24"/>
          <w:vertAlign w:val="subscript"/>
        </w:rPr>
        <w:t>cR</w:t>
      </w:r>
      <w:r w:rsidRPr="00B5027D">
        <w:rPr>
          <w:sz w:val="24"/>
          <w:szCs w:val="24"/>
        </w:rPr>
        <w:t xml:space="preserve"> и </w:t>
      </w:r>
      <w:r w:rsidRPr="00B5027D">
        <w:rPr>
          <w:i/>
          <w:sz w:val="24"/>
          <w:szCs w:val="24"/>
        </w:rPr>
        <w:sym w:font="Symbol" w:char="F067"/>
      </w:r>
      <w:r w:rsidRPr="00B5027D">
        <w:rPr>
          <w:i/>
          <w:sz w:val="24"/>
          <w:szCs w:val="24"/>
          <w:vertAlign w:val="subscript"/>
        </w:rPr>
        <w:t>cf</w:t>
      </w:r>
      <w:r w:rsidRPr="00B5027D">
        <w:rPr>
          <w:sz w:val="24"/>
          <w:szCs w:val="24"/>
        </w:rPr>
        <w:t xml:space="preserve"> по поз. 4 табл. М3 для пылевато-глинистых грунтов с показателем текучести 0,5 &gt; </w:t>
      </w:r>
      <w:r w:rsidRPr="00B5027D">
        <w:rPr>
          <w:i/>
          <w:spacing w:val="-8"/>
          <w:sz w:val="24"/>
          <w:szCs w:val="24"/>
        </w:rPr>
        <w:t>I</w:t>
      </w:r>
      <w:r w:rsidRPr="00B5027D">
        <w:rPr>
          <w:i/>
          <w:spacing w:val="-8"/>
          <w:sz w:val="24"/>
          <w:szCs w:val="24"/>
          <w:vertAlign w:val="subscript"/>
        </w:rPr>
        <w:t>L</w:t>
      </w:r>
      <w:r w:rsidRPr="00B5027D">
        <w:rPr>
          <w:sz w:val="24"/>
          <w:szCs w:val="24"/>
        </w:rPr>
        <w:t xml:space="preserve"> &gt; 0 определяются интерполяцией.</w:t>
      </w:r>
    </w:p>
    <w:p w:rsidR="00615D6F" w:rsidRDefault="00615D6F" w:rsidP="00615D6F">
      <w:pPr>
        <w:spacing w:after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СПИСОК РЕКОМЕНДУЕМОЙ ЛИТЕРАТУРЫ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СНиП РК 5.01-01-2002. Основания зданий и сооружений.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СНиП РК 5.01-03-2002. Свайные фундаменты.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СНиП РК 2.04-01-2001. Строительная климатология.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ГОСТ 25100-95. Грунты. Классификация.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Пособие по проектированию оснований зданий и сооружений (к СНиП 2.02.01-83) / НИИОСП им. Н.М.Герсеванова. - М.: Стройиздат, 1986.-415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Пособие по проектированию подпорных стен и стен подвалов (к СНиП 2.09.03-85) / М.: Стройиздат, 1984.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Руководство по проектированию свайных фундаментов / НИИОСП им. Н.М.Герсеванова Госстроя СССР. - М.: Стройиздат, 1980.-151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Основания, фундаменты и подземные сооружения: Справочник проектировщика / Под общей редакцией Е. А. Сорочана и Ю. Г. Трофименкова. - М.: Стройиздат, 1985.-480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Основания и фундаменты: Справочник / Пол общей редакцией Г. И. Швецова. - М.: Высшая школа, 1991.-383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Берлинов М.В., Ягупов Б.А. Расчет оснований и фундаментов. -М.: Стройиздат, 2001.-272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Веселов В.А. Проектирование оснований и фундаментов. - М.: Стройиздат, 1990.-304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 СНиП 3.02.01-83. Основания и фундаменты / Госстрой СССР. - М.: Стройиздат. 1983.-39 с.</w:t>
      </w:r>
    </w:p>
    <w:p w:rsidR="00615D6F" w:rsidRPr="00303ABB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ГОСТ 13579-78</w:t>
      </w:r>
      <w:r w:rsidRPr="000811DA">
        <w:rPr>
          <w:rFonts w:ascii="Times New Roman" w:hAnsi="Times New Roman"/>
          <w:sz w:val="28"/>
        </w:rPr>
        <w:t>*</w:t>
      </w:r>
      <w:r>
        <w:rPr>
          <w:rFonts w:ascii="Times New Roman" w:hAnsi="Times New Roman"/>
          <w:sz w:val="28"/>
        </w:rPr>
        <w:t>. Блоки бетонные для стен подвалов.</w:t>
      </w:r>
      <w:r w:rsidRPr="000811D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 w:rsidRPr="00303ABB">
        <w:rPr>
          <w:rFonts w:ascii="Times New Roman" w:hAnsi="Times New Roman"/>
          <w:sz w:val="28"/>
        </w:rPr>
        <w:t>14</w:t>
      </w:r>
      <w:r>
        <w:rPr>
          <w:rFonts w:ascii="Times New Roman" w:hAnsi="Times New Roman"/>
          <w:sz w:val="28"/>
        </w:rPr>
        <w:t>. СТ РК 956-93. Плиты ленточных фундаментов железобетонные.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15. ГОСТ 24476-80. Фундаменты железобетонные сборные под колонны каркаса межвидового применения для многоэтажных зданий. 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16. Пособие по проектированию фундаментов на естественном основании под колонны зданий и сооружений (к СНиП 2.03.01-84 и СНиП 2.02.01-83) / Ленпромстройпроект Госстроя СССР. - М.: ЦИТП Госстроя СССР, 1989.-112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17. Нугуманов Д.Т. Проектирование свайных фундаментов / ВКТУ, Усть-Каменогорск, 1999.-82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 ГОСТ 19804.1-79. Сваи забивные железобетонные цельные сплошного квадратного сечения с ненапрягаемой арматурой/ М.: Издательство стандартов, 1981.-19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19. Проектирование и устройство свайных фундаментов: Учеб. пособие для строительных вузов/ С.Б.Беленький, Л.Г.Дикман, И.И.Косоруков и др. –М.: Высшая школа, 1983.-328 с. 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sectPr w:rsidR="00615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376"/>
    <w:multiLevelType w:val="singleLevel"/>
    <w:tmpl w:val="02E2E806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09BD41C9"/>
    <w:multiLevelType w:val="singleLevel"/>
    <w:tmpl w:val="080E4864"/>
    <w:lvl w:ilvl="0">
      <w:start w:val="5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>
    <w:nsid w:val="1772357A"/>
    <w:multiLevelType w:val="singleLevel"/>
    <w:tmpl w:val="7E28573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AE155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F71E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1976E7A"/>
    <w:multiLevelType w:val="multilevel"/>
    <w:tmpl w:val="17F6B2B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74"/>
        </w:tabs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61"/>
        </w:tabs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788"/>
        </w:tabs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75"/>
        </w:tabs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02"/>
        </w:tabs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89"/>
        </w:tabs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76"/>
        </w:tabs>
        <w:ind w:left="9576" w:hanging="2160"/>
      </w:pPr>
      <w:rPr>
        <w:rFonts w:hint="default"/>
      </w:rPr>
    </w:lvl>
  </w:abstractNum>
  <w:abstractNum w:abstractNumId="6">
    <w:nsid w:val="42EF013A"/>
    <w:multiLevelType w:val="multilevel"/>
    <w:tmpl w:val="D41CB6C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7"/>
        </w:tabs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07"/>
        </w:tabs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27"/>
        </w:tabs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87"/>
        </w:tabs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807"/>
        </w:tabs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527"/>
        </w:tabs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887"/>
        </w:tabs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07"/>
        </w:tabs>
        <w:ind w:left="5607" w:hanging="2160"/>
      </w:pPr>
      <w:rPr>
        <w:rFonts w:hint="default"/>
      </w:rPr>
    </w:lvl>
  </w:abstractNum>
  <w:abstractNum w:abstractNumId="7">
    <w:nsid w:val="450634C0"/>
    <w:multiLevelType w:val="multilevel"/>
    <w:tmpl w:val="0352A2BA"/>
    <w:lvl w:ilvl="0">
      <w:start w:val="5"/>
      <w:numFmt w:val="decimal"/>
      <w:lvlText w:val="%1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4C5A6850"/>
    <w:multiLevelType w:val="multilevel"/>
    <w:tmpl w:val="9E20A2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53FF1F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63742F"/>
    <w:multiLevelType w:val="singleLevel"/>
    <w:tmpl w:val="E0BC479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557A7252"/>
    <w:multiLevelType w:val="singleLevel"/>
    <w:tmpl w:val="24AE9C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23F67EB"/>
    <w:multiLevelType w:val="singleLevel"/>
    <w:tmpl w:val="DA92BFDA"/>
    <w:lvl w:ilvl="0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  <w:rPr>
        <w:rFonts w:hint="default"/>
      </w:rPr>
    </w:lvl>
  </w:abstractNum>
  <w:abstractNum w:abstractNumId="13">
    <w:nsid w:val="64684867"/>
    <w:multiLevelType w:val="singleLevel"/>
    <w:tmpl w:val="BFB8865C"/>
    <w:lvl w:ilvl="0">
      <w:start w:val="1"/>
      <w:numFmt w:val="decimal"/>
      <w:lvlText w:val="%1."/>
      <w:lvlJc w:val="left"/>
      <w:pPr>
        <w:tabs>
          <w:tab w:val="num" w:pos="252"/>
        </w:tabs>
        <w:ind w:left="252" w:hanging="360"/>
      </w:pPr>
      <w:rPr>
        <w:rFonts w:hint="default"/>
      </w:rPr>
    </w:lvl>
  </w:abstractNum>
  <w:abstractNum w:abstractNumId="14">
    <w:nsid w:val="67CC4779"/>
    <w:multiLevelType w:val="singleLevel"/>
    <w:tmpl w:val="8570C04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5">
    <w:nsid w:val="6AC724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5"/>
  </w:num>
  <w:num w:numId="5">
    <w:abstractNumId w:val="14"/>
  </w:num>
  <w:num w:numId="6">
    <w:abstractNumId w:val="1"/>
  </w:num>
  <w:num w:numId="7">
    <w:abstractNumId w:val="7"/>
  </w:num>
  <w:num w:numId="8">
    <w:abstractNumId w:val="13"/>
  </w:num>
  <w:num w:numId="9">
    <w:abstractNumId w:val="11"/>
  </w:num>
  <w:num w:numId="10">
    <w:abstractNumId w:val="9"/>
  </w:num>
  <w:num w:numId="11">
    <w:abstractNumId w:val="10"/>
  </w:num>
  <w:num w:numId="12">
    <w:abstractNumId w:val="15"/>
  </w:num>
  <w:num w:numId="13">
    <w:abstractNumId w:val="3"/>
  </w:num>
  <w:num w:numId="14">
    <w:abstractNumId w:val="2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6F"/>
    <w:rsid w:val="001A45B2"/>
    <w:rsid w:val="00503591"/>
    <w:rsid w:val="00615D6F"/>
    <w:rsid w:val="00D119BF"/>
    <w:rsid w:val="00E8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2591</Words>
  <Characters>14770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2020-03-25T17:02:00Z</dcterms:created>
  <dcterms:modified xsi:type="dcterms:W3CDTF">2020-03-25T17:11:00Z</dcterms:modified>
</cp:coreProperties>
</file>